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01"/>
        <w:ind w:left="4395" w:firstLine="0"/>
        <w:jc w:val="center"/>
        <w:spacing w:line="276" w:lineRule="auto"/>
        <w:tabs>
          <w:tab w:val="left" w:pos="1418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полномочий, указанных в заявке на подключение пользователей перечню ролей доступа, настроенных для работы в компоненте казначейского сопровождения модуля ведения операций по исполнению обязательств участ</w:t>
      </w:r>
      <w:r>
        <w:rPr>
          <w:rFonts w:ascii="Times New Roman" w:hAnsi="Times New Roman"/>
          <w:sz w:val="28"/>
          <w:szCs w:val="28"/>
        </w:rPr>
        <w:t xml:space="preserve">ников бюджетного процесса и операций со средствами юридических лиц,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</w:r>
      <w:r>
        <w:rPr>
          <w:rFonts w:ascii="Times New Roman" w:hAnsi="Times New Roman"/>
          <w:b/>
          <w:bCs/>
          <w:sz w:val="24"/>
          <w:szCs w:val="24"/>
        </w:rPr>
      </w:r>
    </w:p>
    <w:p>
      <w:r/>
      <w:r/>
    </w:p>
    <w:tbl>
      <w:tblPr>
        <w:tblW w:w="45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2787"/>
        <w:gridCol w:w="1735"/>
        <w:gridCol w:w="3610"/>
      </w:tblGrid>
      <w:tr>
        <w:tblPrEx/>
        <w:trPr>
          <w:cantSplit/>
          <w:jc w:val="center"/>
          <w:trHeight w:val="948"/>
          <w:tblHeader/>
        </w:trPr>
        <w:tc>
          <w:tcPr>
            <w:tcW w:w="398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№ п/п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gridSpan w:val="2"/>
            <w:tcW w:w="2559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Полномочие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Код роли доступа в системе «Электронный бюджет»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020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spacing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Для клиентов</w:t>
            </w:r>
            <w:r>
              <w:rPr>
                <w:rStyle w:val="1080"/>
                <w:rFonts w:ascii="Times New Roman" w:hAnsi="Times New Roman"/>
                <w:b/>
                <w:spacing w:val="6"/>
                <w:sz w:val="20"/>
                <w:szCs w:val="20"/>
              </w:rPr>
              <w:footnoteReference w:id="2"/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077"/>
        </w:trPr>
        <w:tc>
          <w:tcPr>
            <w:tcW w:w="398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Клиент - Заказчик: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 Сведений об операциях с целевыми средствами на 20__год и плановый период 20__-20__годов</w:t>
            </w:r>
            <w:r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602_03_01 ПУР КС. Утверждение Заказчиком Сведений о ЦС по ЛС ЮЛ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077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602_04_01 ПУР КС. Просмотр Заказчиком Сведений о ЦС по ЛС ЮЛ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077"/>
        </w:trPr>
        <w:tc>
          <w:tcPr>
            <w:tcW w:w="398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Клиент - Заказчик: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Формирование и обработка документов при осуществлении приостановления (отмены приостановления) операций по лицевым счетам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607_01_01 ПУР КС. Ввод документов Головным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заказчиком_Заказчиком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077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607_02_01 ПУР КС. Согласование документов Головным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заказчиком_Заказчиком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077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607_03_01 ПУР КС. Утверждение документов Головным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заказчиком_Заказчиком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077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607_04_01 ПУР КС. Просмотр документов Головным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заказчиком_Заказчиком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023"/>
        </w:trPr>
        <w:tc>
          <w:tcPr>
            <w:tcW w:w="398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Клиент – Исполнитель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Исполнитель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и получение документов организациями при казначейском сопровождении</w:t>
            </w:r>
            <w:r>
              <w:rPr>
                <w:rStyle w:val="1080"/>
                <w:rFonts w:ascii="Times New Roman" w:hAnsi="Times New Roman"/>
                <w:sz w:val="20"/>
                <w:szCs w:val="20"/>
              </w:rPr>
              <w:footnoteReference w:id="3"/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601_01_01 ПУР КС. Ввод документов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38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601_02_01 ПУР КС. Согласование документов по ЛС ЮЛ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8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601_04_01 ПУР КС. Просмотр своих документов по ЛС ЮЛ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026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Просмотр, Ввод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601_07_01 ПУР КС. Просмотр номеров платежных карт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28"/>
        </w:trPr>
        <w:tc>
          <w:tcPr>
            <w:tcW w:w="398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4.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Клиент – Исполнитель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Руководитель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jc w:val="center"/>
              <w:spacing w:after="120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(право первой подписи)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601_03_01 ПУР КС. Утверждение документов по ЛС ЮЛ</w:t>
            </w:r>
            <w:r>
              <w:rPr>
                <w:rStyle w:val="1080"/>
                <w:rFonts w:ascii="Times New Roman" w:hAnsi="Times New Roman"/>
                <w:sz w:val="20"/>
                <w:szCs w:val="20"/>
              </w:rPr>
              <w:footnoteReference w:id="4"/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87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601_04_01 ПУР КС. Просмотр своих документов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73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Просмотр, Ввод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601_07_01 ПУР КС. Просмотр номеров платежных карт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077"/>
        </w:trPr>
        <w:tc>
          <w:tcPr>
            <w:tcW w:w="398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Клиент – Исполнитель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Главный бухгалтер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(право второй подписи):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601_02_01 ПУР КС. Согласование документов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077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Утверждение</w:t>
            </w:r>
            <w:r>
              <w:rPr>
                <w:rStyle w:val="1080"/>
                <w:rFonts w:ascii="Times New Roman" w:hAnsi="Times New Roman"/>
                <w:sz w:val="20"/>
                <w:szCs w:val="20"/>
              </w:rPr>
              <w:footnoteReference w:id="5"/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601_05_01 ПУР КС. Бухгалтер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077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601_04_01 ПУР КС. Просмотр своих документов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077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Просмотр, Ввод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601_07_01 ПУР КС. Просмотр номеров платежных карт</w:t>
            </w:r>
            <w:bookmarkStart w:id="0" w:name="_GoBack"/>
            <w:r/>
            <w:bookmarkEnd w:id="0"/>
            <w:r/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077"/>
        </w:trPr>
        <w:tc>
          <w:tcPr>
            <w:tcW w:w="398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Клиент – Исполнитель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Руководитель ФЭС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601_06_01 ПУР КС. Руководитель ФЭС ЮЛ (Утверждение (Руководитель ФЭС)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077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601_04_01 ПУР КС. Просмотр своих документов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474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ind w:left="357"/>
              <w:jc w:val="center"/>
              <w:spacing w:before="120"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Для сотрудников территориальных органов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ind w:left="357"/>
              <w:jc w:val="center"/>
              <w:spacing w:before="120"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Федерального казначейства – Центров специализации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Центр специализации по казначейскому сопровождению: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Санкционирование расходов при казначейском сопровождении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603_01_02 ПУР КС. Исполнитель ЦС ФК по обработке документов по ЛС ЮЛ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603_02_02 ПУР КС. Согласование ЦС ФК по обработке документов по ЛС ЮЛ 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603_03_02 ПУР КС. Утверждение ЦС ФК по обработке документов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603_04_02 ПУР КС. Просмотр ЦС ФК документов своего ЦС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8.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Центр специализации по казначейскому сопровождению: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Обработка невыясненных поступлений по л/с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604_01_02 ПУР КС. Исполнитель Центра ФК, ответственного за обработку поступлений НВС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604_02_02 ПУР КС. Согласование Центра ФК, ответственного за обработку поступлений НВС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604_03_02 ПУР КС. Утверждение Центра ФК, ответственного за обработку поступлений НВС по ЛС ЮЛ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9.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Центр специализации по казначейскому сопровождению: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Главный бухгалтер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(право второй подписи)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Санкционирование расходов при казначейском сопровождении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603_05_02 ПУР КС. Бухгалтер ЦС. Утверждение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10.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Центр специализации по казначейскому сопровождению: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Изменение данных, не связанных с отражением в учете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603_06_02 ПУР КС. Администратор ЦС ФК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11.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Центр специализации по казначейскому сопровождению: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Направления документов внутри ЦС без наложения ЭП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603_07_02 ПУР КС. Координатор ЦС ФК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12.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Центр специализации по ведению бухгалтерского учета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Ведение бухгалтерского казначейского учета</w:t>
            </w:r>
            <w:r>
              <w:rPr>
                <w:rStyle w:val="1080"/>
                <w:rFonts w:ascii="Times New Roman" w:hAnsi="Times New Roman"/>
                <w:spacing w:val="6"/>
                <w:sz w:val="20"/>
                <w:szCs w:val="20"/>
              </w:rPr>
              <w:footnoteReference w:id="6"/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CRT_ПУР КС. Ведение бухгалтерского казначейского учета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CRT_ПУР КС. Ведение бухгалтерского казначейского учета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CRT_ПУР КС. Просмотр всех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restart"/>
            <w:textDirection w:val="lrTb"/>
            <w:noWrap w:val="false"/>
          </w:tcPr>
          <w:p>
            <w:pPr>
              <w:ind w:left="-255" w:right="-108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13.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Центр специализации по ведению НСИ в ПУР КС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Администратор локальных НСИ ПУР КС</w:t>
            </w:r>
            <w:r>
              <w:rPr>
                <w:rStyle w:val="1080"/>
                <w:rFonts w:ascii="Times New Roman" w:hAnsi="Times New Roman"/>
                <w:spacing w:val="6"/>
                <w:sz w:val="20"/>
                <w:szCs w:val="20"/>
              </w:rPr>
              <w:footnoteReference w:id="7"/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605_01_02 ПУР КС. Ввод и администрирование локальных НСИ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14"/>
              </w:numPr>
              <w:ind w:left="0" w:right="-108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606_ПУР КС. Просмотр справочников ПУР КС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-113" w:right="-392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Центр специализации по казначейскому сопровождению: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Доступа к формуляру «Диагностический отчет закрытия года»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</w:rPr>
            </w:pPr>
            <w:r>
              <w:rPr>
                <w:rFonts w:ascii="Times New Roman" w:hAnsi="Times New Roman"/>
                <w:spacing w:val="6"/>
                <w:sz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CRT_ПУР КС. Аудитор ЗГ</w:t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-113" w:right="-392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  <w:t xml:space="preserve">Центр специализации по казначейскому сопровождению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  <w:t xml:space="preserve">:</w:t>
            </w:r>
            <w:r>
              <w:rPr>
                <w:rStyle w:val="1080"/>
                <w:rFonts w:ascii="Times New Roman" w:hAnsi="Times New Roman"/>
                <w:spacing w:val="6"/>
                <w:sz w:val="20"/>
                <w:szCs w:val="20"/>
                <w:highlight w:val="yellow"/>
              </w:rPr>
              <w:footnoteReference w:id="8"/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r>
          </w:p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  <w:t xml:space="preserve">Мониторинг и сопровождение ПУР КС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highlight w:val="yellow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highlight w:val="yellow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CRT_ПУР КС. Просмотр всех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r>
          </w:p>
        </w:tc>
      </w:tr>
      <w:tr>
        <w:tblPrEx/>
        <w:trPr>
          <w:cantSplit/>
          <w:jc w:val="center"/>
          <w:trHeight w:val="1004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Для сотрудников территориальных органов</w:t>
            </w:r>
            <w:r>
              <w:rPr>
                <w:rFonts w:ascii="Times New Roman" w:hAnsi="Times New Roman"/>
                <w:b/>
                <w:sz w:val="20"/>
              </w:rPr>
            </w:r>
          </w:p>
          <w:p>
            <w:pPr>
              <w:jc w:val="center"/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Федерального казначейства – Фронт офисов</w:t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pacing w:val="6"/>
                <w:sz w:val="20"/>
                <w:szCs w:val="20"/>
                <w:lang w:val="en-US"/>
              </w:rPr>
              <w:t xml:space="preserve">6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Фронт офис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Доступ ТОФК по месту обращения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PFC_ПУР КС. Исполнитель ТОФК обращения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PFC_ПУР КС. Согласование ТОФК обращения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PFC_ПУР КС. Утверждение ТОФК обращения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pacing w:val="6"/>
                <w:sz w:val="20"/>
                <w:szCs w:val="20"/>
                <w:lang w:val="en-US"/>
              </w:rPr>
              <w:t xml:space="preserve">7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Фронт офис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Настройка справочников доступа для ТОФК по месту обращения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tcW w:w="982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606_ПУР КС. Ведение справочников ТОФК обращения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320"/>
        </w:trPr>
        <w:tc>
          <w:tcPr>
            <w:gridSpan w:val="4"/>
            <w:tcW w:w="5000" w:type="pct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Оператор ГИИС «Электронный бюджет»</w:t>
            </w:r>
            <w:r>
              <w:rPr>
                <w:rStyle w:val="1080"/>
                <w:rFonts w:ascii="Times New Roman" w:hAnsi="Times New Roman"/>
                <w:b/>
                <w:sz w:val="20"/>
                <w:szCs w:val="20"/>
              </w:rPr>
              <w:footnoteReference w:id="9"/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spacing w:val="6"/>
                <w:sz w:val="20"/>
                <w:szCs w:val="20"/>
                <w:lang w:val="en-US"/>
              </w:rPr>
              <w:t xml:space="preserve">8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120"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Оператор ГИИС «Электронный бюджет»: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Мониторинг и сопровождение ПУР КС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r>
          </w:p>
        </w:tc>
        <w:tc>
          <w:tcPr>
            <w:tcW w:w="98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CRT_ПУР КС. Просмотр всех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r>
          </w:p>
        </w:tc>
        <w:tc>
          <w:tcPr>
            <w:tcW w:w="982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606_ПУР КС. Просмотр справочников ПУР КС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r>
          </w:p>
        </w:tc>
        <w:tc>
          <w:tcPr>
            <w:tcW w:w="982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CRT_ПУР КС. Ведение бухгалтерского казначейского учета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r>
          </w:p>
        </w:tc>
        <w:tc>
          <w:tcPr>
            <w:tcW w:w="98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r>
          </w:p>
        </w:tc>
        <w:tc>
          <w:tcPr>
            <w:tcW w:w="2043" w:type="pct"/>
            <w:vAlign w:val="center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</w:rPr>
              <w:t xml:space="preserve">HRH_ПУР КС. Просмотр Иерархии КОО</w:t>
            </w:r>
            <w:r>
              <w:rPr>
                <w:rFonts w:ascii="Times New Roman" w:hAnsi="Times New Roman"/>
                <w:sz w:val="20"/>
                <w:szCs w:val="20"/>
                <w:highlight w:val="yellow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r>
          </w:p>
        </w:tc>
        <w:tc>
          <w:tcPr>
            <w:tcW w:w="982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r>
          </w:p>
        </w:tc>
        <w:tc>
          <w:tcPr>
            <w:tcW w:w="2043" w:type="pc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605_ПУР КС. Администратор технической поддержки системы</w:t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cantSplit/>
          <w:jc w:val="center"/>
          <w:trHeight w:val="964"/>
        </w:trPr>
        <w:tc>
          <w:tcPr>
            <w:tcW w:w="398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W w:w="1577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r>
          </w:p>
        </w:tc>
        <w:tc>
          <w:tcPr>
            <w:tcW w:w="982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r>
          </w:p>
        </w:tc>
        <w:tc>
          <w:tcPr>
            <w:tcW w:w="2043" w:type="pc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CRT_ПУР КС. Администратор технической поддержки системы</w:t>
            </w:r>
            <w:r>
              <w:rPr>
                <w:rFonts w:ascii="Times New Roman" w:hAnsi="Times New Roman"/>
              </w:rPr>
            </w:r>
          </w:p>
        </w:tc>
      </w:tr>
    </w:tbl>
    <w:p>
      <w:r/>
      <w:r/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851" w:bottom="993" w:left="1418" w:header="284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081"/>
        <w:jc w:val="both"/>
      </w:pPr>
      <w:r>
        <w:rPr>
          <w:rStyle w:val="1080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Под клиен</w:t>
      </w:r>
      <w:r>
        <w:rPr>
          <w:rFonts w:ascii="Times New Roman" w:hAnsi="Times New Roman"/>
        </w:rPr>
        <w:t xml:space="preserve">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счетов те</w:t>
      </w:r>
      <w:r>
        <w:rPr>
          <w:rFonts w:ascii="Times New Roman" w:hAnsi="Times New Roman"/>
        </w:rPr>
        <w:t xml:space="preserve">рриториальными органами Федерального казначейства открываются лицевые счета в органе Федерального казначейства, являющиеся в свою очередь заказчиками и/или исполнителями по государственным контрактам (контрактам, договорам, соглашениям), на основании котор</w:t>
      </w:r>
      <w:r>
        <w:rPr>
          <w:rFonts w:ascii="Times New Roman" w:hAnsi="Times New Roman"/>
        </w:rPr>
        <w:t xml:space="preserve">ых юридическим лицам (индивидуальным предпринимателям) представляются средства бюджетов бюджетной системы, подлежащие казначейскому сопровождению. Проверка с карточкой образцов подписей при назначении роли «Утверждение» Клиенту-Заказчику не осуществляется.</w:t>
      </w:r>
      <w:r/>
    </w:p>
  </w:footnote>
  <w:footnote w:id="3">
    <w:p>
      <w:pPr>
        <w:pStyle w:val="1081"/>
      </w:pPr>
      <w:r>
        <w:rPr>
          <w:rStyle w:val="1080"/>
        </w:rPr>
        <w:footnoteRef/>
      </w:r>
      <w:r>
        <w:t xml:space="preserve"> </w:t>
      </w:r>
      <w:r>
        <w:rPr>
          <w:rFonts w:ascii="Times New Roman" w:hAnsi="Times New Roman" w:eastAsia="Times New Roman"/>
        </w:rPr>
        <w:t xml:space="preserve">Может быть назначено сотруднику территориального органа Федерального казначейства для заведения документа клиента, предоставленного на бумажном носителе</w:t>
      </w:r>
      <w:r/>
    </w:p>
  </w:footnote>
  <w:footnote w:id="4">
    <w:p>
      <w:pPr>
        <w:pStyle w:val="1081"/>
      </w:pPr>
      <w:r>
        <w:rPr>
          <w:rStyle w:val="1080"/>
        </w:rPr>
        <w:footnoteRef/>
      </w:r>
      <w:r>
        <w:t xml:space="preserve"> </w:t>
      </w:r>
      <w:r>
        <w:rPr>
          <w:rFonts w:ascii="Times New Roman" w:hAnsi="Times New Roman" w:eastAsia="Times New Roman"/>
        </w:rPr>
        <w:t xml:space="preserve">Может быть назначено сотруднику территориального органа Федерального казначейства для заведения документа клиента, предоставленного на бумажном носителе</w:t>
      </w:r>
      <w:r/>
    </w:p>
  </w:footnote>
  <w:footnote w:id="5">
    <w:p>
      <w:pPr>
        <w:pStyle w:val="1081"/>
        <w:jc w:val="both"/>
      </w:pPr>
      <w:r>
        <w:rPr>
          <w:rStyle w:val="1080"/>
        </w:rPr>
        <w:footnoteRef/>
      </w:r>
      <w:r>
        <w:t xml:space="preserve"> </w:t>
      </w:r>
      <w:r>
        <w:rPr>
          <w:rFonts w:ascii="Times New Roman" w:hAnsi="Times New Roman" w:eastAsia="Times New Roman"/>
        </w:rPr>
        <w:t xml:space="preserve">Возможность применения данного полномочия пользователя с 8 июня 2020 года. Заявка на подключение пользователей с данным полномочием и под</w:t>
      </w:r>
      <w:r>
        <w:rPr>
          <w:rFonts w:ascii="Times New Roman" w:hAnsi="Times New Roman" w:eastAsia="Times New Roman"/>
        </w:rPr>
        <w:t xml:space="preserve">ключение пользователей с данным</w:t>
      </w:r>
      <w:r>
        <w:rPr>
          <w:rFonts w:ascii="Times New Roman" w:hAnsi="Times New Roman" w:eastAsia="Times New Roman"/>
        </w:rPr>
        <w:t xml:space="preserve"> полномочием может быть осуществлено до наступления указанного срока.</w:t>
      </w:r>
      <w:r/>
    </w:p>
  </w:footnote>
  <w:footnote w:id="6">
    <w:p>
      <w:pPr>
        <w:pStyle w:val="1081"/>
        <w:jc w:val="both"/>
        <w:rPr>
          <w:rFonts w:ascii="Times New Roman" w:hAnsi="Times New Roman"/>
        </w:rPr>
      </w:pPr>
      <w:r>
        <w:rPr>
          <w:rStyle w:val="1080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Назначается только сотрудникам территориального органа Федерального казначейства, осуществляющего функции Центра специализации по бухгалтерскому учету. </w:t>
      </w:r>
      <w:r>
        <w:rPr>
          <w:rFonts w:ascii="Times New Roman" w:hAnsi="Times New Roman"/>
        </w:rPr>
      </w:r>
    </w:p>
  </w:footnote>
  <w:footnote w:id="7">
    <w:p>
      <w:pPr>
        <w:pStyle w:val="1081"/>
        <w:jc w:val="both"/>
        <w:rPr>
          <w:rFonts w:ascii="Times New Roman" w:hAnsi="Times New Roman"/>
        </w:rPr>
      </w:pPr>
      <w:r>
        <w:rPr>
          <w:rStyle w:val="1080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Назначается только сотрудникам Управления Федерального казначейства по г. Москве</w:t>
      </w:r>
      <w:r>
        <w:rPr>
          <w:rFonts w:ascii="Times New Roman" w:hAnsi="Times New Roman"/>
        </w:rPr>
      </w:r>
    </w:p>
  </w:footnote>
  <w:footnote w:id="8">
    <w:p>
      <w:pPr>
        <w:pStyle w:val="1081"/>
        <w:jc w:val="both"/>
        <w:rPr>
          <w:rFonts w:ascii="Times New Roman" w:hAnsi="Times New Roman"/>
        </w:rPr>
      </w:pPr>
      <w:r>
        <w:rPr>
          <w:rStyle w:val="1080"/>
          <w:rFonts w:ascii="Times New Roman" w:hAnsi="Times New Roman"/>
          <w:highlight w:val="yellow"/>
        </w:rPr>
        <w:footnoteRef/>
      </w:r>
      <w:r>
        <w:rPr>
          <w:rFonts w:ascii="Times New Roman" w:hAnsi="Times New Roman"/>
          <w:highlight w:val="yellow"/>
        </w:rPr>
        <w:t xml:space="preserve"> Назначается </w:t>
      </w:r>
      <w:r>
        <w:rPr>
          <w:rFonts w:ascii="Times New Roman" w:hAnsi="Times New Roman"/>
          <w:b/>
          <w:spacing w:val="6"/>
          <w:highlight w:val="yellow"/>
        </w:rPr>
        <w:t xml:space="preserve">Центр специализации по казначейскому сопровождению</w:t>
      </w:r>
      <w:r>
        <w:rPr>
          <w:rFonts w:ascii="Times New Roman" w:hAnsi="Times New Roman"/>
          <w:highlight w:val="yellow"/>
        </w:rPr>
        <w:t xml:space="preserve">, а также может назнача</w:t>
      </w:r>
      <w:r>
        <w:rPr>
          <w:rFonts w:ascii="Times New Roman" w:hAnsi="Times New Roman"/>
          <w:highlight w:val="yellow"/>
        </w:rPr>
        <w:t xml:space="preserve">т</w:t>
      </w:r>
      <w:r>
        <w:rPr>
          <w:rFonts w:ascii="Times New Roman" w:hAnsi="Times New Roman"/>
          <w:highlight w:val="yellow"/>
        </w:rPr>
        <w:t xml:space="preserve">ь</w:t>
      </w:r>
      <w:r>
        <w:rPr>
          <w:rFonts w:ascii="Times New Roman" w:hAnsi="Times New Roman"/>
          <w:highlight w:val="yellow"/>
        </w:rPr>
        <w:t xml:space="preserve">ся сотрудникам территориального органа Федерального казначейства</w:t>
      </w:r>
      <w:r>
        <w:rPr>
          <w:rFonts w:ascii="Times New Roman" w:hAnsi="Times New Roman"/>
          <w:highlight w:val="yellow"/>
        </w:rPr>
        <w:t xml:space="preserve"> (не ЦС)</w:t>
      </w:r>
      <w:r>
        <w:rPr>
          <w:rFonts w:ascii="Times New Roman" w:hAnsi="Times New Roman"/>
          <w:highlight w:val="yellow"/>
        </w:rPr>
        <w:t xml:space="preserve">, </w:t>
      </w:r>
      <w:r>
        <w:rPr>
          <w:rFonts w:ascii="Times New Roman" w:hAnsi="Times New Roman"/>
          <w:highlight w:val="yellow"/>
        </w:rPr>
        <w:t xml:space="preserve">для </w:t>
      </w:r>
      <w:r>
        <w:rPr>
          <w:rFonts w:ascii="Times New Roman" w:hAnsi="Times New Roman"/>
          <w:highlight w:val="yellow"/>
        </w:rPr>
        <w:t xml:space="preserve">осуществляющ</w:t>
      </w:r>
      <w:r>
        <w:rPr>
          <w:rFonts w:ascii="Times New Roman" w:hAnsi="Times New Roman"/>
          <w:highlight w:val="yellow"/>
        </w:rPr>
        <w:t xml:space="preserve">им</w:t>
      </w:r>
      <w:r>
        <w:rPr>
          <w:rFonts w:ascii="Times New Roman" w:hAnsi="Times New Roman"/>
          <w:highlight w:val="yellow"/>
        </w:rPr>
        <w:t xml:space="preserve"> функции </w:t>
      </w:r>
      <w:r>
        <w:rPr>
          <w:rFonts w:ascii="Times New Roman" w:hAnsi="Times New Roman"/>
          <w:highlight w:val="yellow"/>
        </w:rPr>
        <w:t xml:space="preserve">предотвращения КоАП 15.49.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</w:r>
    </w:p>
  </w:footnote>
  <w:footnote w:id="9">
    <w:p>
      <w:pPr>
        <w:jc w:val="both"/>
        <w:rPr>
          <w:rFonts w:ascii="Times New Roman" w:hAnsi="Times New Roman"/>
        </w:rPr>
      </w:pPr>
      <w:r>
        <w:rPr>
          <w:rStyle w:val="1080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 xml:space="preserve">  Под оператором ГИИС «Электронный бюджет: </w:t>
      </w:r>
      <w:r>
        <w:rPr>
          <w:rFonts w:ascii="Times New Roman" w:hAnsi="Times New Roman"/>
          <w:color w:val="ff0000"/>
          <w:sz w:val="20"/>
        </w:rPr>
        <w:t xml:space="preserve">центральный аппарат Федерального казначейства</w:t>
      </w:r>
      <w:r>
        <w:rPr>
          <w:rFonts w:ascii="Times New Roman" w:hAnsi="Times New Roman"/>
          <w:sz w:val="20"/>
        </w:rPr>
        <w:t xml:space="preserve">, федеральное казенное учреждение «Центр по обеспечению деятельности Казначейства России», Министерство финансов Российской Федерации.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8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4</w:t>
    </w:r>
    <w:r>
      <w:fldChar w:fldCharType="end"/>
    </w:r>
    <w:r/>
  </w:p>
  <w:p>
    <w:pPr>
      <w:pStyle w:val="1086"/>
      <w:jc w:val="center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95"/>
      <w:ind w:left="5387"/>
      <w:jc w:val="center"/>
      <w:spacing w:line="276" w:lineRule="auto"/>
      <w:rPr>
        <w:rFonts w:ascii="Times New Roman" w:hAnsi="Times New Roman" w:cs="Times New Roman"/>
        <w:sz w:val="28"/>
        <w:szCs w:val="28"/>
        <w:lang w:eastAsia="en-US"/>
      </w:rPr>
    </w:pPr>
    <w:r/>
    <w:bookmarkStart w:id="1" w:name="_Toc322613947"/>
    <w:r/>
    <w:bookmarkStart w:id="2" w:name="_Toc322619445"/>
    <w:r/>
    <w:bookmarkStart w:id="3" w:name="_Toc372901644"/>
    <w:r/>
    <w:bookmarkStart w:id="4" w:name="_Toc374702077"/>
    <w:r/>
    <w:bookmarkStart w:id="5" w:name="_Toc372901645"/>
    <w:r/>
    <w:bookmarkStart w:id="6" w:name="_Toc374702078"/>
    <w:r/>
    <w:bookmarkStart w:id="7" w:name="_Toc372901646"/>
    <w:r/>
    <w:bookmarkStart w:id="8" w:name="_Toc374702079"/>
    <w:r/>
    <w:bookmarkStart w:id="9" w:name="_Toc372901647"/>
    <w:r/>
    <w:bookmarkStart w:id="10" w:name="_Toc374702080"/>
    <w:r/>
    <w:bookmarkStart w:id="11" w:name="_Toc372901648"/>
    <w:r/>
    <w:bookmarkStart w:id="12" w:name="_Toc374702081"/>
    <w:r/>
    <w:bookmarkStart w:id="13" w:name="_Toc372901649"/>
    <w:r/>
    <w:bookmarkStart w:id="14" w:name="_Toc374702082"/>
    <w:r/>
    <w:bookmarkEnd w:id="1"/>
    <w:r/>
    <w:bookmarkEnd w:id="2"/>
    <w:r/>
    <w:bookmarkEnd w:id="3"/>
    <w:r/>
    <w:bookmarkEnd w:id="4"/>
    <w:r/>
    <w:bookmarkEnd w:id="5"/>
    <w:r/>
    <w:bookmarkEnd w:id="6"/>
    <w:r/>
    <w:bookmarkEnd w:id="7"/>
    <w:r/>
    <w:bookmarkEnd w:id="8"/>
    <w:r/>
    <w:bookmarkEnd w:id="9"/>
    <w:r/>
    <w:bookmarkEnd w:id="10"/>
    <w:r/>
    <w:bookmarkEnd w:id="11"/>
    <w:r/>
    <w:bookmarkEnd w:id="12"/>
    <w:r/>
    <w:bookmarkEnd w:id="13"/>
    <w:r/>
    <w:bookmarkEnd w:id="14"/>
    <w:r/>
    <w:r>
      <w:rPr>
        <w:rFonts w:ascii="Times New Roman" w:hAnsi="Times New Roman" w:cs="Times New Roman"/>
        <w:sz w:val="28"/>
        <w:szCs w:val="28"/>
        <w:lang w:eastAsia="en-US"/>
      </w:rPr>
    </w:r>
  </w:p>
  <w:p>
    <w:pPr>
      <w:pStyle w:val="1095"/>
      <w:ind w:left="5245" w:right="139"/>
      <w:jc w:val="center"/>
      <w:spacing w:line="276" w:lineRule="auto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Приложение № 4 к Единой заявке:</w:t>
    </w:r>
    <w:r>
      <w:rPr>
        <w:rFonts w:ascii="Times New Roman" w:hAnsi="Times New Roman" w:cs="Times New Roman"/>
        <w:sz w:val="28"/>
        <w:szCs w:val="28"/>
        <w:lang w:eastAsia="en-US"/>
      </w:rPr>
    </w:r>
  </w:p>
  <w:p>
    <w:pPr>
      <w:pStyle w:val="1095"/>
      <w:ind w:left="5245" w:right="139"/>
      <w:jc w:val="center"/>
      <w:spacing w:line="276" w:lineRule="auto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Компонент казначейского сопровождения Подсистемы УР </w:t>
    </w:r>
    <w:r>
      <w:rPr>
        <w:rFonts w:ascii="Times New Roman" w:hAnsi="Times New Roman" w:cs="Times New Roman"/>
        <w:sz w:val="28"/>
        <w:szCs w:val="28"/>
        <w:lang w:eastAsia="en-US"/>
      </w:rPr>
    </w:r>
  </w:p>
  <w:p>
    <w:pPr>
      <w:pStyle w:val="108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pStyle w:val="892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 w:cs="Times New Roman"/>
      </w:rPr>
    </w:lvl>
    <w:lvl w:ilvl="1">
      <w:start w:val="1"/>
      <w:numFmt w:val="decimal"/>
      <w:pStyle w:val="893"/>
      <w:isLgl w:val="false"/>
      <w:suff w:val="tab"/>
      <w:lvlText w:val="%1.%2."/>
      <w:lvlJc w:val="left"/>
      <w:pPr>
        <w:ind w:left="567" w:hanging="567"/>
        <w:tabs>
          <w:tab w:val="num" w:pos="567" w:leader="none"/>
        </w:tabs>
      </w:pPr>
      <w:rPr>
        <w:rFonts w:hint="default" w:ascii="Times New Roman" w:hAnsi="Times New Roman" w:cs="Times New Roman"/>
        <w:b/>
        <w:i w:val="0"/>
        <w:sz w:val="32"/>
        <w:szCs w:val="32"/>
      </w:rPr>
    </w:lvl>
    <w:lvl w:ilvl="2">
      <w:start w:val="1"/>
      <w:numFmt w:val="decimal"/>
      <w:pStyle w:val="894"/>
      <w:isLgl w:val="false"/>
      <w:suff w:val="tab"/>
      <w:lvlText w:val="%1.%2.%3."/>
      <w:lvlJc w:val="left"/>
      <w:pPr>
        <w:ind w:left="964" w:hanging="964"/>
        <w:tabs>
          <w:tab w:val="num" w:pos="964" w:leader="none"/>
        </w:tabs>
      </w:pPr>
      <w:rPr>
        <w:rFonts w:hint="default" w:ascii="Times New Roman" w:hAnsi="Times New Roman" w:cs="Times New Roman"/>
        <w:b/>
        <w:i w:val="0"/>
        <w:sz w:val="28"/>
        <w:szCs w:val="28"/>
      </w:rPr>
    </w:lvl>
    <w:lvl w:ilvl="3">
      <w:start w:val="1"/>
      <w:numFmt w:val="decimal"/>
      <w:pStyle w:val="895"/>
      <w:isLgl w:val="false"/>
      <w:suff w:val="tab"/>
      <w:lvlText w:val="%1.%2.%3.%4."/>
      <w:lvlJc w:val="left"/>
      <w:pPr>
        <w:ind w:left="1134" w:hanging="1134"/>
        <w:tabs>
          <w:tab w:val="num" w:pos="1134" w:leader="none"/>
        </w:tabs>
      </w:pPr>
      <w:rPr>
        <w:rFonts w:hint="default" w:ascii="Times New Roman" w:hAnsi="Times New Roman" w:cs="Times New Roman"/>
        <w:b/>
        <w:i w:val="0"/>
        <w:sz w:val="24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4" w:hanging="1008"/>
        <w:tabs>
          <w:tab w:val="num" w:pos="724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68" w:hanging="1152"/>
        <w:tabs>
          <w:tab w:val="num" w:pos="868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12" w:hanging="1296"/>
        <w:tabs>
          <w:tab w:val="num" w:pos="1012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6" w:hanging="1440"/>
        <w:tabs>
          <w:tab w:val="num" w:pos="1156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00" w:hanging="1584"/>
        <w:tabs>
          <w:tab w:val="num" w:pos="1300" w:leader="none"/>
        </w:tabs>
      </w:pPr>
      <w:rPr>
        <w:rFonts w:hint="default" w:cs="Times New Roman"/>
      </w:rPr>
    </w:lvl>
  </w:abstractNum>
  <w:abstractNum w:abstractNumId="3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none"/>
      <w:pStyle w:val="1117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styleLink w:val="1109"/>
    <w:lvl w:ilvl="0">
      <w:start w:val="1"/>
      <w:numFmt w:val="decimal"/>
      <w:pStyle w:val="1109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10"/>
  </w:num>
  <w:num w:numId="9">
    <w:abstractNumId w:val="14"/>
  </w:num>
  <w:num w:numId="10">
    <w:abstractNumId w:val="9"/>
  </w:num>
  <w:num w:numId="11">
    <w:abstractNumId w:val="5"/>
  </w:num>
  <w:num w:numId="12">
    <w:abstractNumId w:val="0"/>
  </w:num>
  <w:num w:numId="13">
    <w:abstractNumId w:val="16"/>
  </w:num>
  <w:num w:numId="14">
    <w:abstractNumId w:val="13"/>
  </w:num>
  <w:num w:numId="15">
    <w:abstractNumId w:val="19"/>
  </w:num>
  <w:num w:numId="16">
    <w:abstractNumId w:val="15"/>
  </w:num>
  <w:num w:numId="17">
    <w:abstractNumId w:val="12"/>
  </w:num>
  <w:num w:numId="18">
    <w:abstractNumId w:val="11"/>
  </w:num>
  <w:num w:numId="19">
    <w:abstractNumId w:val="1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91" w:default="1">
    <w:name w:val="Normal"/>
    <w:qFormat/>
    <w:rPr>
      <w:rFonts w:eastAsia="Times New Roman"/>
      <w:sz w:val="22"/>
      <w:szCs w:val="22"/>
      <w:lang w:eastAsia="en-US"/>
    </w:rPr>
  </w:style>
  <w:style w:type="paragraph" w:styleId="892">
    <w:name w:val="Heading 1"/>
    <w:basedOn w:val="891"/>
    <w:next w:val="1103"/>
    <w:link w:val="1096"/>
    <w:uiPriority w:val="99"/>
    <w:qFormat/>
    <w:pPr>
      <w:numPr>
        <w:ilvl w:val="0"/>
        <w:numId w:val="1"/>
      </w:numPr>
      <w:contextualSpacing/>
      <w:jc w:val="center"/>
      <w:keepNext/>
      <w:pageBreakBefore/>
      <w:spacing w:before="240" w:after="480"/>
      <w:outlineLvl w:val="0"/>
    </w:pPr>
    <w:rPr>
      <w:rFonts w:ascii="Times New Roman" w:hAnsi="Times New Roman"/>
      <w:b/>
      <w:caps/>
      <w:sz w:val="32"/>
      <w:szCs w:val="36"/>
    </w:rPr>
  </w:style>
  <w:style w:type="paragraph" w:styleId="893">
    <w:name w:val="Heading 2"/>
    <w:basedOn w:val="892"/>
    <w:next w:val="1103"/>
    <w:link w:val="1097"/>
    <w:uiPriority w:val="99"/>
    <w:qFormat/>
    <w:pPr>
      <w:numPr>
        <w:ilvl w:val="1"/>
      </w:numPr>
      <w:jc w:val="left"/>
      <w:pageBreakBefore w:val="0"/>
      <w:spacing w:after="240"/>
      <w:tabs>
        <w:tab w:val="left" w:pos="851" w:leader="none"/>
      </w:tabs>
      <w:outlineLvl w:val="1"/>
    </w:pPr>
    <w:rPr>
      <w:bCs/>
      <w:iCs/>
      <w:caps w:val="0"/>
      <w:szCs w:val="32"/>
    </w:rPr>
  </w:style>
  <w:style w:type="paragraph" w:styleId="894">
    <w:name w:val="Heading 3"/>
    <w:basedOn w:val="893"/>
    <w:next w:val="1103"/>
    <w:link w:val="1098"/>
    <w:uiPriority w:val="99"/>
    <w:qFormat/>
    <w:pPr>
      <w:numPr>
        <w:ilvl w:val="2"/>
      </w:numPr>
      <w:keepLines/>
      <w:tabs>
        <w:tab w:val="clear" w:pos="851" w:leader="none"/>
      </w:tabs>
      <w:outlineLvl w:val="2"/>
    </w:pPr>
    <w:rPr>
      <w:bCs w:val="0"/>
      <w:sz w:val="28"/>
      <w:szCs w:val="26"/>
    </w:rPr>
  </w:style>
  <w:style w:type="paragraph" w:styleId="895">
    <w:name w:val="Heading 4"/>
    <w:basedOn w:val="894"/>
    <w:next w:val="1103"/>
    <w:link w:val="1099"/>
    <w:uiPriority w:val="99"/>
    <w:qFormat/>
    <w:pPr>
      <w:numPr>
        <w:ilvl w:val="3"/>
      </w:numPr>
      <w:outlineLvl w:val="3"/>
    </w:pPr>
    <w:rPr>
      <w:sz w:val="24"/>
    </w:rPr>
  </w:style>
  <w:style w:type="paragraph" w:styleId="896">
    <w:name w:val="Heading 5"/>
    <w:basedOn w:val="891"/>
    <w:next w:val="891"/>
    <w:link w:val="9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97">
    <w:name w:val="Heading 6"/>
    <w:basedOn w:val="891"/>
    <w:next w:val="891"/>
    <w:link w:val="91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898">
    <w:name w:val="Heading 7"/>
    <w:basedOn w:val="891"/>
    <w:next w:val="891"/>
    <w:link w:val="91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99">
    <w:name w:val="Heading 8"/>
    <w:basedOn w:val="891"/>
    <w:next w:val="891"/>
    <w:link w:val="9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00">
    <w:name w:val="Heading 9"/>
    <w:basedOn w:val="891"/>
    <w:next w:val="891"/>
    <w:link w:val="92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01" w:default="1">
    <w:name w:val="Default Paragraph Font"/>
    <w:uiPriority w:val="1"/>
    <w:semiHidden/>
    <w:unhideWhenUsed/>
  </w:style>
  <w:style w:type="table" w:styleId="9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3" w:default="1">
    <w:name w:val="No List"/>
    <w:uiPriority w:val="99"/>
    <w:semiHidden/>
    <w:unhideWhenUsed/>
  </w:style>
  <w:style w:type="character" w:styleId="904" w:customStyle="1">
    <w:name w:val="Heading 5 Char"/>
    <w:basedOn w:val="901"/>
    <w:uiPriority w:val="9"/>
    <w:rPr>
      <w:rFonts w:ascii="Arial" w:hAnsi="Arial" w:eastAsia="Arial" w:cs="Arial"/>
      <w:b/>
      <w:bCs/>
      <w:sz w:val="24"/>
      <w:szCs w:val="24"/>
    </w:rPr>
  </w:style>
  <w:style w:type="character" w:styleId="905" w:customStyle="1">
    <w:name w:val="Heading 6 Char"/>
    <w:basedOn w:val="901"/>
    <w:uiPriority w:val="9"/>
    <w:rPr>
      <w:rFonts w:ascii="Arial" w:hAnsi="Arial" w:eastAsia="Arial" w:cs="Arial"/>
      <w:b/>
      <w:bCs/>
      <w:sz w:val="22"/>
      <w:szCs w:val="22"/>
    </w:rPr>
  </w:style>
  <w:style w:type="character" w:styleId="906" w:customStyle="1">
    <w:name w:val="Heading 7 Char"/>
    <w:basedOn w:val="9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07" w:customStyle="1">
    <w:name w:val="Heading 8 Char"/>
    <w:basedOn w:val="901"/>
    <w:uiPriority w:val="9"/>
    <w:rPr>
      <w:rFonts w:ascii="Arial" w:hAnsi="Arial" w:eastAsia="Arial" w:cs="Arial"/>
      <w:i/>
      <w:iCs/>
      <w:sz w:val="22"/>
      <w:szCs w:val="22"/>
    </w:rPr>
  </w:style>
  <w:style w:type="character" w:styleId="908" w:customStyle="1">
    <w:name w:val="Heading 9 Char"/>
    <w:basedOn w:val="901"/>
    <w:uiPriority w:val="9"/>
    <w:rPr>
      <w:rFonts w:ascii="Arial" w:hAnsi="Arial" w:eastAsia="Arial" w:cs="Arial"/>
      <w:i/>
      <w:iCs/>
      <w:sz w:val="21"/>
      <w:szCs w:val="21"/>
    </w:rPr>
  </w:style>
  <w:style w:type="character" w:styleId="909" w:customStyle="1">
    <w:name w:val="Title Char"/>
    <w:basedOn w:val="901"/>
    <w:uiPriority w:val="10"/>
    <w:rPr>
      <w:sz w:val="48"/>
      <w:szCs w:val="48"/>
    </w:rPr>
  </w:style>
  <w:style w:type="character" w:styleId="910" w:customStyle="1">
    <w:name w:val="Subtitle Char"/>
    <w:basedOn w:val="901"/>
    <w:uiPriority w:val="11"/>
    <w:rPr>
      <w:sz w:val="24"/>
      <w:szCs w:val="24"/>
    </w:rPr>
  </w:style>
  <w:style w:type="character" w:styleId="911" w:customStyle="1">
    <w:name w:val="Quote Char"/>
    <w:uiPriority w:val="29"/>
    <w:rPr>
      <w:i/>
    </w:rPr>
  </w:style>
  <w:style w:type="character" w:styleId="912" w:customStyle="1">
    <w:name w:val="Intense Quote Char"/>
    <w:uiPriority w:val="30"/>
    <w:rPr>
      <w:i/>
    </w:rPr>
  </w:style>
  <w:style w:type="character" w:styleId="913" w:customStyle="1">
    <w:name w:val="Heading 1 Char"/>
    <w:basedOn w:val="901"/>
    <w:uiPriority w:val="9"/>
    <w:rPr>
      <w:rFonts w:ascii="Arial" w:hAnsi="Arial" w:eastAsia="Arial" w:cs="Arial"/>
      <w:sz w:val="40"/>
      <w:szCs w:val="40"/>
    </w:rPr>
  </w:style>
  <w:style w:type="character" w:styleId="914" w:customStyle="1">
    <w:name w:val="Heading 2 Char"/>
    <w:basedOn w:val="901"/>
    <w:uiPriority w:val="9"/>
    <w:rPr>
      <w:rFonts w:ascii="Arial" w:hAnsi="Arial" w:eastAsia="Arial" w:cs="Arial"/>
      <w:sz w:val="34"/>
    </w:rPr>
  </w:style>
  <w:style w:type="character" w:styleId="915" w:customStyle="1">
    <w:name w:val="Heading 3 Char"/>
    <w:basedOn w:val="901"/>
    <w:uiPriority w:val="9"/>
    <w:rPr>
      <w:rFonts w:ascii="Arial" w:hAnsi="Arial" w:eastAsia="Arial" w:cs="Arial"/>
      <w:sz w:val="30"/>
      <w:szCs w:val="30"/>
    </w:rPr>
  </w:style>
  <w:style w:type="character" w:styleId="916" w:customStyle="1">
    <w:name w:val="Heading 4 Char"/>
    <w:basedOn w:val="901"/>
    <w:uiPriority w:val="9"/>
    <w:rPr>
      <w:rFonts w:ascii="Arial" w:hAnsi="Arial" w:eastAsia="Arial" w:cs="Arial"/>
      <w:b/>
      <w:bCs/>
      <w:sz w:val="26"/>
      <w:szCs w:val="26"/>
    </w:rPr>
  </w:style>
  <w:style w:type="character" w:styleId="917" w:customStyle="1">
    <w:name w:val="Заголовок 5 Знак"/>
    <w:basedOn w:val="901"/>
    <w:link w:val="896"/>
    <w:uiPriority w:val="9"/>
    <w:rPr>
      <w:rFonts w:ascii="Arial" w:hAnsi="Arial" w:eastAsia="Arial" w:cs="Arial"/>
      <w:b/>
      <w:bCs/>
      <w:sz w:val="24"/>
      <w:szCs w:val="24"/>
    </w:rPr>
  </w:style>
  <w:style w:type="character" w:styleId="918" w:customStyle="1">
    <w:name w:val="Заголовок 6 Знак"/>
    <w:basedOn w:val="901"/>
    <w:link w:val="897"/>
    <w:uiPriority w:val="9"/>
    <w:rPr>
      <w:rFonts w:ascii="Arial" w:hAnsi="Arial" w:eastAsia="Arial" w:cs="Arial"/>
      <w:b/>
      <w:bCs/>
      <w:sz w:val="22"/>
      <w:szCs w:val="22"/>
    </w:rPr>
  </w:style>
  <w:style w:type="character" w:styleId="919" w:customStyle="1">
    <w:name w:val="Заголовок 7 Знак"/>
    <w:basedOn w:val="901"/>
    <w:link w:val="8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20" w:customStyle="1">
    <w:name w:val="Заголовок 8 Знак"/>
    <w:basedOn w:val="901"/>
    <w:link w:val="899"/>
    <w:uiPriority w:val="9"/>
    <w:rPr>
      <w:rFonts w:ascii="Arial" w:hAnsi="Arial" w:eastAsia="Arial" w:cs="Arial"/>
      <w:i/>
      <w:iCs/>
      <w:sz w:val="22"/>
      <w:szCs w:val="22"/>
    </w:rPr>
  </w:style>
  <w:style w:type="character" w:styleId="921" w:customStyle="1">
    <w:name w:val="Заголовок 9 Знак"/>
    <w:basedOn w:val="901"/>
    <w:link w:val="900"/>
    <w:uiPriority w:val="9"/>
    <w:rPr>
      <w:rFonts w:ascii="Arial" w:hAnsi="Arial" w:eastAsia="Arial" w:cs="Arial"/>
      <w:i/>
      <w:iCs/>
      <w:sz w:val="21"/>
      <w:szCs w:val="21"/>
    </w:rPr>
  </w:style>
  <w:style w:type="paragraph" w:styleId="922">
    <w:name w:val="No Spacing"/>
    <w:uiPriority w:val="1"/>
    <w:qFormat/>
  </w:style>
  <w:style w:type="paragraph" w:styleId="923">
    <w:name w:val="Title"/>
    <w:basedOn w:val="891"/>
    <w:next w:val="891"/>
    <w:link w:val="92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924" w:customStyle="1">
    <w:name w:val="Заголовок Знак"/>
    <w:basedOn w:val="901"/>
    <w:link w:val="923"/>
    <w:uiPriority w:val="10"/>
    <w:rPr>
      <w:sz w:val="48"/>
      <w:szCs w:val="48"/>
    </w:rPr>
  </w:style>
  <w:style w:type="paragraph" w:styleId="925">
    <w:name w:val="Subtitle"/>
    <w:basedOn w:val="891"/>
    <w:next w:val="891"/>
    <w:link w:val="926"/>
    <w:uiPriority w:val="11"/>
    <w:qFormat/>
    <w:pPr>
      <w:spacing w:before="200" w:after="200"/>
    </w:pPr>
    <w:rPr>
      <w:sz w:val="24"/>
      <w:szCs w:val="24"/>
    </w:rPr>
  </w:style>
  <w:style w:type="character" w:styleId="926" w:customStyle="1">
    <w:name w:val="Подзаголовок Знак"/>
    <w:basedOn w:val="901"/>
    <w:link w:val="925"/>
    <w:uiPriority w:val="11"/>
    <w:rPr>
      <w:sz w:val="24"/>
      <w:szCs w:val="24"/>
    </w:rPr>
  </w:style>
  <w:style w:type="paragraph" w:styleId="927">
    <w:name w:val="Quote"/>
    <w:basedOn w:val="891"/>
    <w:next w:val="891"/>
    <w:link w:val="928"/>
    <w:uiPriority w:val="29"/>
    <w:qFormat/>
    <w:pPr>
      <w:ind w:left="720" w:right="720"/>
    </w:pPr>
    <w:rPr>
      <w:i/>
    </w:rPr>
  </w:style>
  <w:style w:type="character" w:styleId="928" w:customStyle="1">
    <w:name w:val="Цитата 2 Знак"/>
    <w:link w:val="927"/>
    <w:uiPriority w:val="29"/>
    <w:rPr>
      <w:i/>
    </w:rPr>
  </w:style>
  <w:style w:type="paragraph" w:styleId="929">
    <w:name w:val="Intense Quote"/>
    <w:basedOn w:val="891"/>
    <w:next w:val="891"/>
    <w:link w:val="93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30" w:customStyle="1">
    <w:name w:val="Выделенная цитата Знак"/>
    <w:link w:val="929"/>
    <w:uiPriority w:val="30"/>
    <w:rPr>
      <w:i/>
    </w:rPr>
  </w:style>
  <w:style w:type="character" w:styleId="931" w:customStyle="1">
    <w:name w:val="Header Char"/>
    <w:basedOn w:val="901"/>
    <w:uiPriority w:val="99"/>
  </w:style>
  <w:style w:type="character" w:styleId="932" w:customStyle="1">
    <w:name w:val="Footer Char"/>
    <w:basedOn w:val="901"/>
    <w:uiPriority w:val="99"/>
  </w:style>
  <w:style w:type="paragraph" w:styleId="933">
    <w:name w:val="Caption"/>
    <w:basedOn w:val="891"/>
    <w:next w:val="89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934" w:customStyle="1">
    <w:name w:val="Caption Char"/>
    <w:uiPriority w:val="99"/>
  </w:style>
  <w:style w:type="table" w:styleId="935" w:customStyle="1">
    <w:name w:val="Table Grid Light"/>
    <w:basedOn w:val="90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36">
    <w:name w:val="Plain Table 1"/>
    <w:basedOn w:val="90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37">
    <w:name w:val="Plain Table 2"/>
    <w:basedOn w:val="90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38">
    <w:name w:val="Plain Table 3"/>
    <w:basedOn w:val="9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39">
    <w:name w:val="Plain Table 4"/>
    <w:basedOn w:val="9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>
    <w:name w:val="Plain Table 5"/>
    <w:basedOn w:val="9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41">
    <w:name w:val="Grid Table 1 Light"/>
    <w:basedOn w:val="90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 w:customStyle="1">
    <w:name w:val="Grid Table 1 Light - Accent 1"/>
    <w:basedOn w:val="90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 w:customStyle="1">
    <w:name w:val="Grid Table 1 Light - Accent 2"/>
    <w:basedOn w:val="90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 w:customStyle="1">
    <w:name w:val="Grid Table 1 Light - Accent 3"/>
    <w:basedOn w:val="90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 w:customStyle="1">
    <w:name w:val="Grid Table 1 Light - Accent 4"/>
    <w:basedOn w:val="90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 w:customStyle="1">
    <w:name w:val="Grid Table 1 Light - Accent 5"/>
    <w:basedOn w:val="90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 w:customStyle="1">
    <w:name w:val="Grid Table 1 Light - Accent 6"/>
    <w:basedOn w:val="90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>
    <w:name w:val="Grid Table 2"/>
    <w:basedOn w:val="90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Grid Table 2 - Accent 1"/>
    <w:basedOn w:val="90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Grid Table 2 - Accent 2"/>
    <w:basedOn w:val="90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Grid Table 2 - Accent 3"/>
    <w:basedOn w:val="90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Grid Table 2 - Accent 4"/>
    <w:basedOn w:val="90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Grid Table 2 - Accent 5"/>
    <w:basedOn w:val="90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Grid Table 2 - Accent 6"/>
    <w:basedOn w:val="90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>
    <w:name w:val="Grid Table 3"/>
    <w:basedOn w:val="90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 w:customStyle="1">
    <w:name w:val="Grid Table 3 - Accent 1"/>
    <w:basedOn w:val="90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Grid Table 3 - Accent 2"/>
    <w:basedOn w:val="90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Grid Table 3 - Accent 3"/>
    <w:basedOn w:val="90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 w:customStyle="1">
    <w:name w:val="Grid Table 3 - Accent 4"/>
    <w:basedOn w:val="90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 w:customStyle="1">
    <w:name w:val="Grid Table 3 - Accent 5"/>
    <w:basedOn w:val="90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 w:customStyle="1">
    <w:name w:val="Grid Table 3 - Accent 6"/>
    <w:basedOn w:val="90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Grid Table 4"/>
    <w:basedOn w:val="90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63" w:customStyle="1">
    <w:name w:val="Grid Table 4 - Accent 1"/>
    <w:basedOn w:val="90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964" w:customStyle="1">
    <w:name w:val="Grid Table 4 - Accent 2"/>
    <w:basedOn w:val="90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965" w:customStyle="1">
    <w:name w:val="Grid Table 4 - Accent 3"/>
    <w:basedOn w:val="90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966" w:customStyle="1">
    <w:name w:val="Grid Table 4 - Accent 4"/>
    <w:basedOn w:val="90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967" w:customStyle="1">
    <w:name w:val="Grid Table 4 - Accent 5"/>
    <w:basedOn w:val="90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968" w:customStyle="1">
    <w:name w:val="Grid Table 4 - Accent 6"/>
    <w:basedOn w:val="90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969">
    <w:name w:val="Grid Table 5 Dark"/>
    <w:basedOn w:val="9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70" w:customStyle="1">
    <w:name w:val="Grid Table 5 Dark- Accent 1"/>
    <w:basedOn w:val="9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971" w:customStyle="1">
    <w:name w:val="Grid Table 5 Dark - Accent 2"/>
    <w:basedOn w:val="9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972" w:customStyle="1">
    <w:name w:val="Grid Table 5 Dark - Accent 3"/>
    <w:basedOn w:val="9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973" w:customStyle="1">
    <w:name w:val="Grid Table 5 Dark- Accent 4"/>
    <w:basedOn w:val="9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974" w:customStyle="1">
    <w:name w:val="Grid Table 5 Dark - Accent 5"/>
    <w:basedOn w:val="9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975" w:customStyle="1">
    <w:name w:val="Grid Table 5 Dark - Accent 6"/>
    <w:basedOn w:val="9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976">
    <w:name w:val="Grid Table 6 Colorful"/>
    <w:basedOn w:val="90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77" w:customStyle="1">
    <w:name w:val="Grid Table 6 Colorful - Accent 1"/>
    <w:basedOn w:val="90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978" w:customStyle="1">
    <w:name w:val="Grid Table 6 Colorful - Accent 2"/>
    <w:basedOn w:val="90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79" w:customStyle="1">
    <w:name w:val="Grid Table 6 Colorful - Accent 3"/>
    <w:basedOn w:val="90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80" w:customStyle="1">
    <w:name w:val="Grid Table 6 Colorful - Accent 4"/>
    <w:basedOn w:val="90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81" w:customStyle="1">
    <w:name w:val="Grid Table 6 Colorful - Accent 5"/>
    <w:basedOn w:val="90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82" w:customStyle="1">
    <w:name w:val="Grid Table 6 Colorful - Accent 6"/>
    <w:basedOn w:val="90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83">
    <w:name w:val="Grid Table 7 Colorful"/>
    <w:basedOn w:val="90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4" w:customStyle="1">
    <w:name w:val="Grid Table 7 Colorful - Accent 1"/>
    <w:basedOn w:val="90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5" w:customStyle="1">
    <w:name w:val="Grid Table 7 Colorful - Accent 2"/>
    <w:basedOn w:val="90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6" w:customStyle="1">
    <w:name w:val="Grid Table 7 Colorful - Accent 3"/>
    <w:basedOn w:val="90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7" w:customStyle="1">
    <w:name w:val="Grid Table 7 Colorful - Accent 4"/>
    <w:basedOn w:val="90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8" w:customStyle="1">
    <w:name w:val="Grid Table 7 Colorful - Accent 5"/>
    <w:basedOn w:val="90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9" w:customStyle="1">
    <w:name w:val="Grid Table 7 Colorful - Accent 6"/>
    <w:basedOn w:val="90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0">
    <w:name w:val="List Table 1 Light"/>
    <w:basedOn w:val="90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1" w:customStyle="1">
    <w:name w:val="List Table 1 Light - Accent 1"/>
    <w:basedOn w:val="902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2" w:customStyle="1">
    <w:name w:val="List Table 1 Light - Accent 2"/>
    <w:basedOn w:val="902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3" w:customStyle="1">
    <w:name w:val="List Table 1 Light - Accent 3"/>
    <w:basedOn w:val="902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4" w:customStyle="1">
    <w:name w:val="List Table 1 Light - Accent 4"/>
    <w:basedOn w:val="902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5" w:customStyle="1">
    <w:name w:val="List Table 1 Light - Accent 5"/>
    <w:basedOn w:val="902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 w:customStyle="1">
    <w:name w:val="List Table 1 Light - Accent 6"/>
    <w:basedOn w:val="902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>
    <w:name w:val="List Table 2"/>
    <w:basedOn w:val="90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98" w:customStyle="1">
    <w:name w:val="List Table 2 - Accent 1"/>
    <w:basedOn w:val="90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999" w:customStyle="1">
    <w:name w:val="List Table 2 - Accent 2"/>
    <w:basedOn w:val="90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1000" w:customStyle="1">
    <w:name w:val="List Table 2 - Accent 3"/>
    <w:basedOn w:val="90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1001" w:customStyle="1">
    <w:name w:val="List Table 2 - Accent 4"/>
    <w:basedOn w:val="90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002" w:customStyle="1">
    <w:name w:val="List Table 2 - Accent 5"/>
    <w:basedOn w:val="90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1003" w:customStyle="1">
    <w:name w:val="List Table 2 - Accent 6"/>
    <w:basedOn w:val="90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004">
    <w:name w:val="List Table 3"/>
    <w:basedOn w:val="90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5" w:customStyle="1">
    <w:name w:val="List Table 3 - Accent 1"/>
    <w:basedOn w:val="90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6" w:customStyle="1">
    <w:name w:val="List Table 3 - Accent 2"/>
    <w:basedOn w:val="90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7" w:customStyle="1">
    <w:name w:val="List Table 3 - Accent 3"/>
    <w:basedOn w:val="90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8" w:customStyle="1">
    <w:name w:val="List Table 3 - Accent 4"/>
    <w:basedOn w:val="90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9" w:customStyle="1">
    <w:name w:val="List Table 3 - Accent 5"/>
    <w:basedOn w:val="90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0" w:customStyle="1">
    <w:name w:val="List Table 3 - Accent 6"/>
    <w:basedOn w:val="90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1">
    <w:name w:val="List Table 4"/>
    <w:basedOn w:val="90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2" w:customStyle="1">
    <w:name w:val="List Table 4 - Accent 1"/>
    <w:basedOn w:val="90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3" w:customStyle="1">
    <w:name w:val="List Table 4 - Accent 2"/>
    <w:basedOn w:val="90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4" w:customStyle="1">
    <w:name w:val="List Table 4 - Accent 3"/>
    <w:basedOn w:val="90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5" w:customStyle="1">
    <w:name w:val="List Table 4 - Accent 4"/>
    <w:basedOn w:val="90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6" w:customStyle="1">
    <w:name w:val="List Table 4 - Accent 5"/>
    <w:basedOn w:val="90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7" w:customStyle="1">
    <w:name w:val="List Table 4 - Accent 6"/>
    <w:basedOn w:val="90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8">
    <w:name w:val="List Table 5 Dark"/>
    <w:basedOn w:val="90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19" w:customStyle="1">
    <w:name w:val="List Table 5 Dark - Accent 1"/>
    <w:basedOn w:val="90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20" w:customStyle="1">
    <w:name w:val="List Table 5 Dark - Accent 2"/>
    <w:basedOn w:val="90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21" w:customStyle="1">
    <w:name w:val="List Table 5 Dark - Accent 3"/>
    <w:basedOn w:val="90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22" w:customStyle="1">
    <w:name w:val="List Table 5 Dark - Accent 4"/>
    <w:basedOn w:val="90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23" w:customStyle="1">
    <w:name w:val="List Table 5 Dark - Accent 5"/>
    <w:basedOn w:val="90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24" w:customStyle="1">
    <w:name w:val="List Table 5 Dark - Accent 6"/>
    <w:basedOn w:val="90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25">
    <w:name w:val="List Table 6 Colorful"/>
    <w:basedOn w:val="90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26" w:customStyle="1">
    <w:name w:val="List Table 6 Colorful - Accent 1"/>
    <w:basedOn w:val="90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1027" w:customStyle="1">
    <w:name w:val="List Table 6 Colorful - Accent 2"/>
    <w:basedOn w:val="90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028" w:customStyle="1">
    <w:name w:val="List Table 6 Colorful - Accent 3"/>
    <w:basedOn w:val="90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029" w:customStyle="1">
    <w:name w:val="List Table 6 Colorful - Accent 4"/>
    <w:basedOn w:val="90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030" w:customStyle="1">
    <w:name w:val="List Table 6 Colorful - Accent 5"/>
    <w:basedOn w:val="90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1031" w:customStyle="1">
    <w:name w:val="List Table 6 Colorful - Accent 6"/>
    <w:basedOn w:val="90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032">
    <w:name w:val="List Table 7 Colorful"/>
    <w:basedOn w:val="90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3" w:customStyle="1">
    <w:name w:val="List Table 7 Colorful - Accent 1"/>
    <w:basedOn w:val="90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4" w:customStyle="1">
    <w:name w:val="List Table 7 Colorful - Accent 2"/>
    <w:basedOn w:val="90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5" w:customStyle="1">
    <w:name w:val="List Table 7 Colorful - Accent 3"/>
    <w:basedOn w:val="90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6" w:customStyle="1">
    <w:name w:val="List Table 7 Colorful - Accent 4"/>
    <w:basedOn w:val="90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7" w:customStyle="1">
    <w:name w:val="List Table 7 Colorful - Accent 5"/>
    <w:basedOn w:val="90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8" w:customStyle="1">
    <w:name w:val="List Table 7 Colorful - Accent 6"/>
    <w:basedOn w:val="90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9" w:customStyle="1">
    <w:name w:val="Lined - Accent"/>
    <w:basedOn w:val="9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40" w:customStyle="1">
    <w:name w:val="Lined - Accent 1"/>
    <w:basedOn w:val="9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041" w:customStyle="1">
    <w:name w:val="Lined - Accent 2"/>
    <w:basedOn w:val="9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042" w:customStyle="1">
    <w:name w:val="Lined - Accent 3"/>
    <w:basedOn w:val="9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043" w:customStyle="1">
    <w:name w:val="Lined - Accent 4"/>
    <w:basedOn w:val="9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044" w:customStyle="1">
    <w:name w:val="Lined - Accent 5"/>
    <w:basedOn w:val="9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045" w:customStyle="1">
    <w:name w:val="Lined - Accent 6"/>
    <w:basedOn w:val="9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046" w:customStyle="1">
    <w:name w:val="Bordered &amp; Lined - Accent"/>
    <w:basedOn w:val="90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47" w:customStyle="1">
    <w:name w:val="Bordered &amp; Lined - Accent 1"/>
    <w:basedOn w:val="902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048" w:customStyle="1">
    <w:name w:val="Bordered &amp; Lined - Accent 2"/>
    <w:basedOn w:val="902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049" w:customStyle="1">
    <w:name w:val="Bordered &amp; Lined - Accent 3"/>
    <w:basedOn w:val="902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050" w:customStyle="1">
    <w:name w:val="Bordered &amp; Lined - Accent 4"/>
    <w:basedOn w:val="902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051" w:customStyle="1">
    <w:name w:val="Bordered &amp; Lined - Accent 5"/>
    <w:basedOn w:val="902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052" w:customStyle="1">
    <w:name w:val="Bordered &amp; Lined - Accent 6"/>
    <w:basedOn w:val="902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053" w:customStyle="1">
    <w:name w:val="Bordered"/>
    <w:basedOn w:val="90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54" w:customStyle="1">
    <w:name w:val="Bordered - Accent 1"/>
    <w:basedOn w:val="90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1055" w:customStyle="1">
    <w:name w:val="Bordered - Accent 2"/>
    <w:basedOn w:val="90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056" w:customStyle="1">
    <w:name w:val="Bordered - Accent 3"/>
    <w:basedOn w:val="90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057" w:customStyle="1">
    <w:name w:val="Bordered - Accent 4"/>
    <w:basedOn w:val="90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058" w:customStyle="1">
    <w:name w:val="Bordered - Accent 5"/>
    <w:basedOn w:val="90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1059" w:customStyle="1">
    <w:name w:val="Bordered - Accent 6"/>
    <w:basedOn w:val="90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1060" w:customStyle="1">
    <w:name w:val="Footnote Text Char"/>
    <w:uiPriority w:val="99"/>
    <w:rPr>
      <w:sz w:val="18"/>
    </w:rPr>
  </w:style>
  <w:style w:type="character" w:styleId="1061" w:customStyle="1">
    <w:name w:val="Endnote Text Char"/>
    <w:uiPriority w:val="99"/>
    <w:rPr>
      <w:sz w:val="20"/>
    </w:rPr>
  </w:style>
  <w:style w:type="paragraph" w:styleId="1062">
    <w:name w:val="toc 1"/>
    <w:basedOn w:val="891"/>
    <w:next w:val="891"/>
    <w:uiPriority w:val="39"/>
    <w:unhideWhenUsed/>
    <w:pPr>
      <w:spacing w:after="57"/>
    </w:pPr>
  </w:style>
  <w:style w:type="paragraph" w:styleId="1063">
    <w:name w:val="toc 2"/>
    <w:basedOn w:val="891"/>
    <w:next w:val="891"/>
    <w:uiPriority w:val="39"/>
    <w:unhideWhenUsed/>
    <w:pPr>
      <w:ind w:left="283"/>
      <w:spacing w:after="57"/>
    </w:pPr>
  </w:style>
  <w:style w:type="paragraph" w:styleId="1064">
    <w:name w:val="toc 3"/>
    <w:basedOn w:val="891"/>
    <w:next w:val="891"/>
    <w:uiPriority w:val="39"/>
    <w:unhideWhenUsed/>
    <w:pPr>
      <w:ind w:left="567"/>
      <w:spacing w:after="57"/>
    </w:pPr>
  </w:style>
  <w:style w:type="paragraph" w:styleId="1065">
    <w:name w:val="toc 4"/>
    <w:basedOn w:val="891"/>
    <w:next w:val="891"/>
    <w:uiPriority w:val="39"/>
    <w:unhideWhenUsed/>
    <w:pPr>
      <w:ind w:left="850"/>
      <w:spacing w:after="57"/>
    </w:pPr>
  </w:style>
  <w:style w:type="paragraph" w:styleId="1066">
    <w:name w:val="toc 5"/>
    <w:basedOn w:val="891"/>
    <w:next w:val="891"/>
    <w:uiPriority w:val="39"/>
    <w:unhideWhenUsed/>
    <w:pPr>
      <w:ind w:left="1134"/>
      <w:spacing w:after="57"/>
    </w:pPr>
  </w:style>
  <w:style w:type="paragraph" w:styleId="1067">
    <w:name w:val="toc 6"/>
    <w:basedOn w:val="891"/>
    <w:next w:val="891"/>
    <w:uiPriority w:val="39"/>
    <w:unhideWhenUsed/>
    <w:pPr>
      <w:ind w:left="1417"/>
      <w:spacing w:after="57"/>
    </w:pPr>
  </w:style>
  <w:style w:type="paragraph" w:styleId="1068">
    <w:name w:val="toc 7"/>
    <w:basedOn w:val="891"/>
    <w:next w:val="891"/>
    <w:uiPriority w:val="39"/>
    <w:unhideWhenUsed/>
    <w:pPr>
      <w:ind w:left="1701"/>
      <w:spacing w:after="57"/>
    </w:pPr>
  </w:style>
  <w:style w:type="paragraph" w:styleId="1069">
    <w:name w:val="toc 8"/>
    <w:basedOn w:val="891"/>
    <w:next w:val="891"/>
    <w:uiPriority w:val="39"/>
    <w:unhideWhenUsed/>
    <w:pPr>
      <w:ind w:left="1984"/>
      <w:spacing w:after="57"/>
    </w:pPr>
  </w:style>
  <w:style w:type="paragraph" w:styleId="1070">
    <w:name w:val="toc 9"/>
    <w:basedOn w:val="891"/>
    <w:next w:val="891"/>
    <w:uiPriority w:val="39"/>
    <w:unhideWhenUsed/>
    <w:pPr>
      <w:ind w:left="2268"/>
      <w:spacing w:after="57"/>
    </w:pPr>
  </w:style>
  <w:style w:type="paragraph" w:styleId="1071">
    <w:name w:val="TOC Heading"/>
    <w:uiPriority w:val="39"/>
    <w:unhideWhenUsed/>
  </w:style>
  <w:style w:type="paragraph" w:styleId="1072">
    <w:name w:val="table of figures"/>
    <w:basedOn w:val="891"/>
    <w:next w:val="891"/>
    <w:uiPriority w:val="99"/>
    <w:unhideWhenUsed/>
  </w:style>
  <w:style w:type="paragraph" w:styleId="1073" w:customStyle="1">
    <w:name w:val="Абзац списка1"/>
    <w:basedOn w:val="891"/>
    <w:link w:val="1079"/>
    <w:pPr>
      <w:contextualSpacing/>
      <w:ind w:left="720"/>
    </w:pPr>
  </w:style>
  <w:style w:type="character" w:styleId="1074" w:customStyle="1">
    <w:name w:val="Нижний колонтитул Знак"/>
    <w:rPr>
      <w:rFonts w:ascii="Times New Roman" w:hAnsi="Times New Roman"/>
      <w:sz w:val="20"/>
      <w:szCs w:val="20"/>
    </w:rPr>
  </w:style>
  <w:style w:type="table" w:styleId="1075">
    <w:name w:val="Table Grid"/>
    <w:basedOn w:val="902"/>
    <w:uiPriority w:val="59"/>
    <w:rPr>
      <w:rFonts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76">
    <w:name w:val="Balloon Text"/>
    <w:basedOn w:val="891"/>
    <w:link w:val="1078"/>
    <w:semiHidden/>
    <w:rPr>
      <w:rFonts w:ascii="Tahoma" w:hAnsi="Tahoma" w:eastAsia="Calibri"/>
      <w:sz w:val="16"/>
      <w:szCs w:val="20"/>
    </w:rPr>
  </w:style>
  <w:style w:type="paragraph" w:styleId="1077" w:customStyle="1">
    <w:name w:val="ConsPlusCell"/>
    <w:rPr>
      <w:rFonts w:ascii="Times New Roman" w:hAnsi="Times New Roman" w:eastAsia="Times New Roman"/>
      <w:sz w:val="24"/>
      <w:szCs w:val="24"/>
      <w:lang w:eastAsia="en-US"/>
    </w:rPr>
  </w:style>
  <w:style w:type="character" w:styleId="1078" w:customStyle="1">
    <w:name w:val="Текст выноски Знак"/>
    <w:link w:val="1076"/>
    <w:semiHidden/>
    <w:rPr>
      <w:rFonts w:ascii="Tahoma" w:hAnsi="Tahoma"/>
      <w:sz w:val="16"/>
    </w:rPr>
  </w:style>
  <w:style w:type="character" w:styleId="1079" w:customStyle="1">
    <w:name w:val="List Paragraph Char"/>
    <w:link w:val="1073"/>
  </w:style>
  <w:style w:type="character" w:styleId="1080">
    <w:name w:val="footnote reference"/>
    <w:uiPriority w:val="99"/>
    <w:rPr>
      <w:rFonts w:cs="Times New Roman"/>
      <w:vertAlign w:val="superscript"/>
    </w:rPr>
  </w:style>
  <w:style w:type="paragraph" w:styleId="1081">
    <w:name w:val="footnote text"/>
    <w:basedOn w:val="891"/>
    <w:link w:val="1083"/>
    <w:uiPriority w:val="99"/>
    <w:rPr>
      <w:rFonts w:eastAsia="Calibri"/>
      <w:sz w:val="20"/>
      <w:szCs w:val="20"/>
    </w:rPr>
  </w:style>
  <w:style w:type="character" w:styleId="1082" w:customStyle="1">
    <w:name w:val="Текст сноски Знак"/>
    <w:semiHidden/>
    <w:rPr>
      <w:sz w:val="20"/>
    </w:rPr>
  </w:style>
  <w:style w:type="character" w:styleId="1083" w:customStyle="1">
    <w:name w:val="Текст сноски Знак1"/>
    <w:link w:val="1081"/>
    <w:uiPriority w:val="99"/>
    <w:rPr>
      <w:rFonts w:ascii="Calibri" w:hAnsi="Calibri"/>
      <w:sz w:val="20"/>
    </w:rPr>
  </w:style>
  <w:style w:type="paragraph" w:styleId="1084" w:customStyle="1">
    <w:name w:val="ConsPlusNonformat"/>
    <w:pPr>
      <w:widowControl w:val="off"/>
    </w:pPr>
    <w:rPr>
      <w:rFonts w:ascii="Courier New" w:hAnsi="Courier New" w:cs="Courier New"/>
    </w:rPr>
  </w:style>
  <w:style w:type="character" w:styleId="1085">
    <w:name w:val="Hyperlink"/>
    <w:rPr>
      <w:rFonts w:cs="Times New Roman"/>
      <w:color w:val="0000ff"/>
      <w:u w:val="single"/>
    </w:rPr>
  </w:style>
  <w:style w:type="paragraph" w:styleId="1086">
    <w:name w:val="Header"/>
    <w:basedOn w:val="891"/>
    <w:link w:val="1088"/>
    <w:uiPriority w:val="99"/>
    <w:pPr>
      <w:tabs>
        <w:tab w:val="center" w:pos="4153" w:leader="none"/>
        <w:tab w:val="right" w:pos="8306" w:leader="none"/>
      </w:tabs>
    </w:pPr>
    <w:rPr>
      <w:rFonts w:ascii="Times New Roman" w:hAnsi="Times New Roman" w:eastAsia="Calibri"/>
      <w:sz w:val="20"/>
      <w:szCs w:val="20"/>
      <w:lang w:eastAsia="ru-RU"/>
    </w:rPr>
  </w:style>
  <w:style w:type="paragraph" w:styleId="1087" w:customStyle="1">
    <w:name w:val="Colorful List - Accent 11"/>
    <w:basedOn w:val="891"/>
    <w:uiPriority w:val="34"/>
    <w:qFormat/>
    <w:pPr>
      <w:contextualSpacing/>
      <w:ind w:left="720"/>
      <w:spacing w:after="200" w:line="276" w:lineRule="auto"/>
    </w:pPr>
    <w:rPr>
      <w:rFonts w:eastAsia="Calibri"/>
    </w:rPr>
  </w:style>
  <w:style w:type="character" w:styleId="1088" w:customStyle="1">
    <w:name w:val="Верхний колонтитул Знак"/>
    <w:link w:val="1086"/>
    <w:uiPriority w:val="99"/>
    <w:rPr>
      <w:rFonts w:ascii="Times New Roman" w:hAnsi="Times New Roman"/>
      <w:sz w:val="20"/>
      <w:lang w:eastAsia="ru-RU"/>
    </w:rPr>
  </w:style>
  <w:style w:type="character" w:styleId="1089">
    <w:name w:val="annotation reference"/>
    <w:uiPriority w:val="99"/>
    <w:rPr>
      <w:rFonts w:cs="Times New Roman"/>
      <w:sz w:val="16"/>
      <w:szCs w:val="16"/>
    </w:rPr>
  </w:style>
  <w:style w:type="paragraph" w:styleId="1090">
    <w:name w:val="annotation text"/>
    <w:basedOn w:val="891"/>
    <w:link w:val="1092"/>
    <w:uiPriority w:val="99"/>
    <w:rPr>
      <w:sz w:val="20"/>
      <w:szCs w:val="20"/>
    </w:rPr>
  </w:style>
  <w:style w:type="paragraph" w:styleId="1091">
    <w:name w:val="annotation subject"/>
    <w:basedOn w:val="1090"/>
    <w:next w:val="1090"/>
    <w:link w:val="1094"/>
    <w:rPr>
      <w:b/>
      <w:bCs/>
    </w:rPr>
  </w:style>
  <w:style w:type="character" w:styleId="1092" w:customStyle="1">
    <w:name w:val="Текст примечания Знак"/>
    <w:link w:val="1090"/>
    <w:uiPriority w:val="99"/>
    <w:rPr>
      <w:rFonts w:eastAsia="Times New Roman" w:cs="Times New Roman"/>
      <w:lang w:eastAsia="en-US"/>
    </w:rPr>
  </w:style>
  <w:style w:type="paragraph" w:styleId="1093" w:customStyle="1">
    <w:name w:val="Colorful Shading - Accent 11"/>
    <w:hidden/>
    <w:uiPriority w:val="99"/>
    <w:semiHidden/>
    <w:rPr>
      <w:rFonts w:eastAsia="Times New Roman"/>
      <w:sz w:val="22"/>
      <w:szCs w:val="22"/>
      <w:lang w:eastAsia="en-US"/>
    </w:rPr>
  </w:style>
  <w:style w:type="character" w:styleId="1094" w:customStyle="1">
    <w:name w:val="Тема примечания Знак"/>
    <w:link w:val="1091"/>
    <w:rPr>
      <w:rFonts w:eastAsia="Times New Roman" w:cs="Times New Roman"/>
      <w:b/>
      <w:bCs/>
      <w:lang w:eastAsia="en-US"/>
    </w:rPr>
  </w:style>
  <w:style w:type="paragraph" w:styleId="1095" w:customStyle="1">
    <w:name w:val="ConsPlusNormal"/>
    <w:pPr>
      <w:widowControl w:val="off"/>
    </w:pPr>
    <w:rPr>
      <w:rFonts w:ascii="Arial" w:hAnsi="Arial" w:eastAsia="Times New Roman" w:cs="Arial"/>
    </w:rPr>
  </w:style>
  <w:style w:type="character" w:styleId="1096" w:customStyle="1">
    <w:name w:val="Заголовок 1 Знак"/>
    <w:link w:val="892"/>
    <w:uiPriority w:val="99"/>
    <w:rPr>
      <w:rFonts w:ascii="Times New Roman" w:hAnsi="Times New Roman" w:eastAsia="Times New Roman"/>
      <w:b/>
      <w:caps/>
      <w:sz w:val="32"/>
      <w:szCs w:val="36"/>
      <w:lang w:eastAsia="en-US"/>
    </w:rPr>
  </w:style>
  <w:style w:type="character" w:styleId="1097" w:customStyle="1">
    <w:name w:val="Заголовок 2 Знак"/>
    <w:link w:val="893"/>
    <w:uiPriority w:val="99"/>
    <w:rPr>
      <w:rFonts w:ascii="Times New Roman" w:hAnsi="Times New Roman" w:eastAsia="Times New Roman"/>
      <w:b/>
      <w:bCs/>
      <w:iCs/>
      <w:sz w:val="32"/>
      <w:szCs w:val="32"/>
      <w:lang w:eastAsia="en-US"/>
    </w:rPr>
  </w:style>
  <w:style w:type="character" w:styleId="1098" w:customStyle="1">
    <w:name w:val="Заголовок 3 Знак"/>
    <w:link w:val="894"/>
    <w:uiPriority w:val="99"/>
    <w:rPr>
      <w:rFonts w:ascii="Times New Roman" w:hAnsi="Times New Roman" w:eastAsia="Times New Roman"/>
      <w:b/>
      <w:iCs/>
      <w:sz w:val="28"/>
      <w:szCs w:val="26"/>
      <w:lang w:eastAsia="en-US"/>
    </w:rPr>
  </w:style>
  <w:style w:type="character" w:styleId="1099" w:customStyle="1">
    <w:name w:val="Заголовок 4 Знак"/>
    <w:link w:val="895"/>
    <w:uiPriority w:val="99"/>
    <w:rPr>
      <w:rFonts w:ascii="Times New Roman" w:hAnsi="Times New Roman" w:eastAsia="Times New Roman"/>
      <w:b/>
      <w:iCs/>
      <w:sz w:val="24"/>
      <w:szCs w:val="26"/>
      <w:lang w:eastAsia="en-US"/>
    </w:rPr>
  </w:style>
  <w:style w:type="character" w:styleId="1100" w:customStyle="1">
    <w:name w:val="_Текст+абзац Знак"/>
    <w:link w:val="1101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styleId="1101" w:customStyle="1">
    <w:name w:val="_Текст+абзац"/>
    <w:link w:val="1100"/>
    <w:pPr>
      <w:ind w:firstLine="567"/>
      <w:jc w:val="both"/>
      <w:spacing w:line="360" w:lineRule="auto"/>
    </w:pPr>
    <w:rPr>
      <w:rFonts w:ascii="Times New Roman" w:hAnsi="Times New Roman"/>
      <w:spacing w:val="-2"/>
      <w:sz w:val="28"/>
      <w:szCs w:val="22"/>
      <w:lang w:eastAsia="en-US"/>
    </w:rPr>
  </w:style>
  <w:style w:type="character" w:styleId="1102" w:customStyle="1">
    <w:name w:val="_EB_Normal Знак"/>
    <w:link w:val="1103"/>
    <w:rPr>
      <w:sz w:val="24"/>
      <w:szCs w:val="22"/>
      <w:lang w:val="ru-RU" w:eastAsia="ru-RU" w:bidi="ar-SA"/>
    </w:rPr>
  </w:style>
  <w:style w:type="paragraph" w:styleId="1103" w:customStyle="1">
    <w:name w:val="_EB_Normal"/>
    <w:link w:val="1102"/>
    <w:pPr>
      <w:contextualSpacing/>
      <w:ind w:firstLine="567"/>
      <w:jc w:val="both"/>
      <w:spacing w:before="120" w:after="60"/>
    </w:pPr>
    <w:rPr>
      <w:sz w:val="24"/>
      <w:szCs w:val="22"/>
    </w:rPr>
  </w:style>
  <w:style w:type="paragraph" w:styleId="1104" w:customStyle="1">
    <w:name w:val="_EB_Sign"/>
    <w:basedOn w:val="891"/>
    <w:pPr>
      <w:contextualSpacing/>
      <w:jc w:val="center"/>
      <w:keepNext/>
      <w:spacing w:before="120" w:after="120"/>
    </w:pPr>
    <w:rPr>
      <w:rFonts w:ascii="Times New Roman" w:hAnsi="Times New Roman"/>
      <w:b/>
      <w:sz w:val="28"/>
      <w:szCs w:val="20"/>
      <w:lang w:eastAsia="ru-RU"/>
    </w:rPr>
  </w:style>
  <w:style w:type="paragraph" w:styleId="1105">
    <w:name w:val="Body Text Indent 3"/>
    <w:basedOn w:val="891"/>
    <w:link w:val="1106"/>
    <w:uiPriority w:val="99"/>
    <w:semiHidden/>
    <w:pPr>
      <w:ind w:left="283" w:firstLine="567"/>
      <w:jc w:val="both"/>
      <w:spacing w:after="120"/>
    </w:pPr>
    <w:rPr>
      <w:rFonts w:ascii="Times New Roman" w:hAnsi="Times New Roman"/>
      <w:sz w:val="16"/>
      <w:szCs w:val="20"/>
    </w:rPr>
  </w:style>
  <w:style w:type="character" w:styleId="1106" w:customStyle="1">
    <w:name w:val="Основной текст с отступом 3 Знак"/>
    <w:link w:val="1105"/>
    <w:uiPriority w:val="99"/>
    <w:semiHidden/>
    <w:rPr>
      <w:rFonts w:ascii="Times New Roman" w:hAnsi="Times New Roman" w:eastAsia="Times New Roman"/>
      <w:sz w:val="16"/>
      <w:szCs w:val="20"/>
    </w:rPr>
  </w:style>
  <w:style w:type="paragraph" w:styleId="1107">
    <w:name w:val="Body Text"/>
    <w:basedOn w:val="891"/>
    <w:link w:val="1108"/>
    <w:uiPriority w:val="99"/>
    <w:semiHidden/>
    <w:pPr>
      <w:ind w:firstLine="567"/>
      <w:jc w:val="both"/>
      <w:spacing w:after="240"/>
    </w:pPr>
    <w:rPr>
      <w:rFonts w:ascii="Times New Roman" w:hAnsi="Times New Roman"/>
      <w:sz w:val="20"/>
      <w:szCs w:val="20"/>
    </w:rPr>
  </w:style>
  <w:style w:type="character" w:styleId="1108" w:customStyle="1">
    <w:name w:val="Основной текст Знак"/>
    <w:link w:val="1107"/>
    <w:uiPriority w:val="99"/>
    <w:semiHidden/>
    <w:rPr>
      <w:rFonts w:ascii="Times New Roman" w:hAnsi="Times New Roman" w:eastAsia="Times New Roman"/>
      <w:sz w:val="20"/>
      <w:szCs w:val="20"/>
    </w:rPr>
  </w:style>
  <w:style w:type="numbering" w:styleId="1109">
    <w:name w:val="Outline List 1"/>
    <w:basedOn w:val="903"/>
    <w:unhideWhenUsed/>
    <w:pPr>
      <w:numPr>
        <w:ilvl w:val="0"/>
        <w:numId w:val="2"/>
      </w:numPr>
    </w:pPr>
  </w:style>
  <w:style w:type="paragraph" w:styleId="1110" w:customStyle="1">
    <w:name w:val="Iau?iue"/>
    <w:rPr>
      <w:rFonts w:ascii="Times New Roman" w:hAnsi="Times New Roman" w:eastAsia="Times New Roman"/>
    </w:rPr>
  </w:style>
  <w:style w:type="paragraph" w:styleId="1111" w:customStyle="1">
    <w:name w:val="Iau?iue1"/>
    <w:pPr>
      <w:widowControl w:val="off"/>
    </w:pPr>
    <w:rPr>
      <w:rFonts w:ascii="Times New Roman" w:hAnsi="Times New Roman" w:eastAsia="Times New Roman"/>
    </w:rPr>
  </w:style>
  <w:style w:type="paragraph" w:styleId="1112" w:customStyle="1">
    <w:name w:val="Iniiaiie oaeno 2"/>
    <w:basedOn w:val="1110"/>
    <w:pPr>
      <w:ind w:firstLine="709"/>
      <w:jc w:val="both"/>
      <w:spacing w:after="120"/>
    </w:pPr>
    <w:rPr>
      <w:sz w:val="24"/>
    </w:rPr>
  </w:style>
  <w:style w:type="paragraph" w:styleId="1113">
    <w:name w:val="Footer"/>
    <w:basedOn w:val="891"/>
    <w:link w:val="1114"/>
    <w:unhideWhenUsed/>
    <w:pPr>
      <w:tabs>
        <w:tab w:val="center" w:pos="4677" w:leader="none"/>
        <w:tab w:val="right" w:pos="9355" w:leader="none"/>
      </w:tabs>
    </w:pPr>
  </w:style>
  <w:style w:type="character" w:styleId="1114" w:customStyle="1">
    <w:name w:val="Нижний колонтитул Знак1"/>
    <w:link w:val="1113"/>
    <w:rPr>
      <w:rFonts w:eastAsia="Times New Roman"/>
      <w:sz w:val="22"/>
      <w:szCs w:val="22"/>
      <w:lang w:eastAsia="en-US"/>
    </w:rPr>
  </w:style>
  <w:style w:type="paragraph" w:styleId="1115" w:customStyle="1">
    <w:name w:val="Default"/>
    <w:uiPriority w:val="99"/>
    <w:rPr>
      <w:rFonts w:ascii="Times New Roman" w:hAnsi="Times New Roman"/>
      <w:color w:val="000000"/>
      <w:sz w:val="24"/>
      <w:szCs w:val="24"/>
      <w:lang w:eastAsia="en-US"/>
    </w:rPr>
  </w:style>
  <w:style w:type="paragraph" w:styleId="1116">
    <w:name w:val="Normal (Web)"/>
    <w:basedOn w:val="891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1117" w:customStyle="1">
    <w:name w:val="Заг_Приложение"/>
    <w:basedOn w:val="892"/>
    <w:next w:val="1103"/>
    <w:uiPriority w:val="99"/>
    <w:pPr>
      <w:numPr>
        <w:ilvl w:val="0"/>
        <w:numId w:val="3"/>
      </w:numPr>
      <w:ind w:left="0" w:firstLine="0"/>
    </w:pPr>
  </w:style>
  <w:style w:type="paragraph" w:styleId="1118">
    <w:name w:val="Document Map"/>
    <w:basedOn w:val="891"/>
    <w:link w:val="1119"/>
    <w:uiPriority w:val="99"/>
    <w:semiHidden/>
    <w:unhideWhenUsed/>
    <w:rPr>
      <w:rFonts w:ascii="Tahoma" w:hAnsi="Tahoma"/>
      <w:sz w:val="16"/>
      <w:szCs w:val="16"/>
    </w:rPr>
  </w:style>
  <w:style w:type="character" w:styleId="1119" w:customStyle="1">
    <w:name w:val="Схема документа Знак"/>
    <w:link w:val="1118"/>
    <w:uiPriority w:val="99"/>
    <w:semiHidden/>
    <w:rPr>
      <w:rFonts w:ascii="Tahoma" w:hAnsi="Tahoma" w:eastAsia="Times New Roman" w:cs="Tahoma"/>
      <w:sz w:val="16"/>
      <w:szCs w:val="16"/>
      <w:lang w:eastAsia="en-US"/>
    </w:rPr>
  </w:style>
  <w:style w:type="paragraph" w:styleId="1120" w:customStyle="1">
    <w:name w:val="_GOST_Table_norm"/>
    <w:link w:val="1121"/>
    <w:pPr>
      <w:ind w:left="57" w:right="57"/>
      <w:jc w:val="both"/>
    </w:pPr>
    <w:rPr>
      <w:rFonts w:ascii="Times New Roman" w:hAnsi="Times New Roman" w:eastAsia="Times New Roman"/>
      <w:sz w:val="22"/>
    </w:rPr>
  </w:style>
  <w:style w:type="character" w:styleId="1121" w:customStyle="1">
    <w:name w:val="_GOST_Table_norm Знак"/>
    <w:link w:val="1120"/>
    <w:rPr>
      <w:rFonts w:ascii="Times New Roman" w:hAnsi="Times New Roman" w:eastAsia="Times New Roman"/>
      <w:sz w:val="22"/>
    </w:rPr>
  </w:style>
  <w:style w:type="paragraph" w:styleId="1122">
    <w:name w:val="List Paragraph"/>
    <w:basedOn w:val="891"/>
    <w:uiPriority w:val="34"/>
    <w:qFormat/>
    <w:pPr>
      <w:ind w:left="708"/>
    </w:pPr>
  </w:style>
  <w:style w:type="paragraph" w:styleId="1123">
    <w:name w:val="endnote text"/>
    <w:basedOn w:val="891"/>
    <w:link w:val="1124"/>
    <w:uiPriority w:val="99"/>
    <w:unhideWhenUsed/>
    <w:rPr>
      <w:sz w:val="20"/>
      <w:szCs w:val="20"/>
    </w:rPr>
  </w:style>
  <w:style w:type="character" w:styleId="1124" w:customStyle="1">
    <w:name w:val="Текст концевой сноски Знак"/>
    <w:link w:val="1123"/>
    <w:uiPriority w:val="99"/>
    <w:rPr>
      <w:rFonts w:eastAsia="Times New Roman"/>
      <w:lang w:eastAsia="en-US"/>
    </w:rPr>
  </w:style>
  <w:style w:type="character" w:styleId="1125">
    <w:name w:val="endnote reference"/>
    <w:uiPriority w:val="99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DreamLair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subject/>
  <dc:creator>БЕРЁЗА НАДЕЖДА ВАСИЛЬЕВНА</dc:creator>
  <cp:keywords/>
  <cp:lastModifiedBy>УФК по Саратовской области</cp:lastModifiedBy>
  <cp:revision>4</cp:revision>
  <dcterms:created xsi:type="dcterms:W3CDTF">2026-01-29T11:44:00Z</dcterms:created>
  <dcterms:modified xsi:type="dcterms:W3CDTF">2026-02-04T08:04:32Z</dcterms:modified>
</cp:coreProperties>
</file>